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95" w:rsidRPr="00461C59" w:rsidRDefault="00461C59" w:rsidP="003549E1">
      <w:pPr>
        <w:pStyle w:val="a4"/>
        <w:spacing w:after="0" w:line="240" w:lineRule="auto"/>
        <w:ind w:left="928"/>
        <w:contextualSpacing w:val="0"/>
        <w:rPr>
          <w:rFonts w:ascii="Arial" w:hAnsi="Arial" w:cs="Arial"/>
          <w:b/>
          <w:sz w:val="28"/>
          <w:szCs w:val="28"/>
        </w:rPr>
      </w:pPr>
      <w:r w:rsidRPr="00461C59">
        <w:rPr>
          <w:rFonts w:ascii="Arial" w:hAnsi="Arial" w:cs="Arial"/>
          <w:b/>
          <w:sz w:val="28"/>
          <w:szCs w:val="28"/>
        </w:rPr>
        <w:t xml:space="preserve">                                  </w:t>
      </w:r>
      <w:r w:rsidR="00497395" w:rsidRPr="00461C59">
        <w:rPr>
          <w:rFonts w:ascii="Arial" w:hAnsi="Arial" w:cs="Arial"/>
          <w:b/>
          <w:sz w:val="28"/>
          <w:szCs w:val="28"/>
        </w:rPr>
        <w:t xml:space="preserve">Тарифы на услуги </w:t>
      </w:r>
      <w:r w:rsidR="005331CC" w:rsidRPr="00461C59">
        <w:rPr>
          <w:rFonts w:ascii="Arial" w:hAnsi="Arial" w:cs="Arial"/>
          <w:b/>
          <w:sz w:val="28"/>
          <w:szCs w:val="28"/>
        </w:rPr>
        <w:t>5</w:t>
      </w:r>
      <w:r w:rsidR="005331CC" w:rsidRPr="00461C59">
        <w:rPr>
          <w:rFonts w:ascii="Arial" w:hAnsi="Arial" w:cs="Arial"/>
          <w:b/>
          <w:sz w:val="28"/>
          <w:szCs w:val="28"/>
          <w:lang w:val="en-US"/>
        </w:rPr>
        <w:t>Post</w:t>
      </w:r>
    </w:p>
    <w:p w:rsidR="00497395" w:rsidRPr="003549E1" w:rsidRDefault="00497395" w:rsidP="003549E1">
      <w:pPr>
        <w:spacing w:after="0" w:line="240" w:lineRule="auto"/>
        <w:rPr>
          <w:rFonts w:ascii="Arial" w:hAnsi="Arial" w:cs="Arial"/>
          <w:b/>
          <w:sz w:val="20"/>
          <w:szCs w:val="20"/>
        </w:rPr>
      </w:pPr>
    </w:p>
    <w:p w:rsidR="00497395" w:rsidRPr="00744C00" w:rsidRDefault="00497395" w:rsidP="00497395">
      <w:pPr>
        <w:shd w:val="clear" w:color="auto" w:fill="FFFFFF"/>
        <w:spacing w:after="0" w:line="240" w:lineRule="auto"/>
        <w:ind w:right="2" w:firstLine="360"/>
        <w:rPr>
          <w:rFonts w:ascii="Arial" w:hAnsi="Arial" w:cs="Arial"/>
          <w:sz w:val="20"/>
          <w:szCs w:val="20"/>
          <w:lang w:eastAsia="ru-RU"/>
        </w:rPr>
      </w:pPr>
      <w:r w:rsidRPr="00744C00">
        <w:rPr>
          <w:rFonts w:ascii="Arial" w:hAnsi="Arial" w:cs="Arial"/>
          <w:sz w:val="20"/>
          <w:szCs w:val="20"/>
          <w:lang w:eastAsia="ru-RU"/>
        </w:rPr>
        <w:t>Тариф за Доставку Отправлений включает в себя:</w:t>
      </w:r>
    </w:p>
    <w:p w:rsidR="00497395" w:rsidRPr="009C15BA" w:rsidRDefault="00497395" w:rsidP="00497395">
      <w:pPr>
        <w:pStyle w:val="a4"/>
        <w:numPr>
          <w:ilvl w:val="0"/>
          <w:numId w:val="3"/>
        </w:numPr>
        <w:shd w:val="clear" w:color="auto" w:fill="FFFFFF"/>
        <w:spacing w:after="0" w:line="240" w:lineRule="auto"/>
        <w:ind w:right="2"/>
        <w:contextualSpacing w:val="0"/>
        <w:rPr>
          <w:rFonts w:ascii="Arial" w:hAnsi="Arial" w:cs="Arial"/>
          <w:sz w:val="20"/>
          <w:szCs w:val="20"/>
          <w:lang w:eastAsia="ru-RU"/>
        </w:rPr>
      </w:pPr>
      <w:r w:rsidRPr="009C15BA">
        <w:rPr>
          <w:rFonts w:ascii="Arial" w:hAnsi="Arial" w:cs="Arial"/>
          <w:sz w:val="20"/>
          <w:szCs w:val="20"/>
          <w:lang w:eastAsia="ru-RU"/>
        </w:rPr>
        <w:t xml:space="preserve">Выдачу Отправления через ПВЗ - кассу магазина Пятерочка и </w:t>
      </w:r>
      <w:proofErr w:type="spellStart"/>
      <w:r w:rsidRPr="009C15BA">
        <w:rPr>
          <w:rFonts w:ascii="Arial" w:hAnsi="Arial" w:cs="Arial"/>
          <w:sz w:val="20"/>
          <w:szCs w:val="20"/>
          <w:lang w:eastAsia="ru-RU"/>
        </w:rPr>
        <w:t>Постаматы</w:t>
      </w:r>
      <w:proofErr w:type="spellEnd"/>
      <w:r w:rsidRPr="009C15BA">
        <w:rPr>
          <w:rFonts w:ascii="Arial" w:hAnsi="Arial" w:cs="Arial"/>
          <w:sz w:val="20"/>
          <w:szCs w:val="20"/>
          <w:lang w:eastAsia="ru-RU"/>
        </w:rPr>
        <w:t>;</w:t>
      </w:r>
    </w:p>
    <w:p w:rsidR="00497395" w:rsidRPr="009C15BA" w:rsidRDefault="00497395" w:rsidP="00497395">
      <w:pPr>
        <w:pStyle w:val="a4"/>
        <w:numPr>
          <w:ilvl w:val="0"/>
          <w:numId w:val="3"/>
        </w:numPr>
        <w:shd w:val="clear" w:color="auto" w:fill="FFFFFF"/>
        <w:spacing w:after="0" w:line="240" w:lineRule="auto"/>
        <w:ind w:right="2"/>
        <w:contextualSpacing w:val="0"/>
        <w:rPr>
          <w:rFonts w:ascii="Arial" w:hAnsi="Arial" w:cs="Arial"/>
          <w:sz w:val="20"/>
          <w:szCs w:val="20"/>
          <w:lang w:eastAsia="ru-RU"/>
        </w:rPr>
      </w:pPr>
      <w:r w:rsidRPr="009C15BA">
        <w:rPr>
          <w:rFonts w:ascii="Arial" w:hAnsi="Arial" w:cs="Arial"/>
          <w:sz w:val="20"/>
          <w:szCs w:val="20"/>
          <w:lang w:eastAsia="ru-RU"/>
        </w:rPr>
        <w:t xml:space="preserve">Уведомление Получателей по SMS и/или </w:t>
      </w:r>
      <w:proofErr w:type="spellStart"/>
      <w:r w:rsidRPr="009C15BA">
        <w:rPr>
          <w:rFonts w:ascii="Arial" w:hAnsi="Arial" w:cs="Arial"/>
          <w:sz w:val="20"/>
          <w:szCs w:val="20"/>
          <w:lang w:eastAsia="ru-RU"/>
        </w:rPr>
        <w:t>E-mail</w:t>
      </w:r>
      <w:proofErr w:type="spellEnd"/>
      <w:r w:rsidRPr="009C15BA">
        <w:rPr>
          <w:rFonts w:ascii="Arial" w:hAnsi="Arial" w:cs="Arial"/>
          <w:sz w:val="20"/>
          <w:szCs w:val="20"/>
          <w:lang w:eastAsia="ru-RU"/>
        </w:rPr>
        <w:t xml:space="preserve"> о доставке Отправления в ПВЗ и </w:t>
      </w:r>
      <w:proofErr w:type="spellStart"/>
      <w:r w:rsidRPr="009C15BA">
        <w:rPr>
          <w:rFonts w:ascii="Arial" w:hAnsi="Arial" w:cs="Arial"/>
          <w:sz w:val="20"/>
          <w:szCs w:val="20"/>
          <w:lang w:eastAsia="ru-RU"/>
        </w:rPr>
        <w:t>Постаматы</w:t>
      </w:r>
      <w:proofErr w:type="spellEnd"/>
      <w:r w:rsidRPr="009C15BA">
        <w:rPr>
          <w:rFonts w:ascii="Arial" w:hAnsi="Arial" w:cs="Arial"/>
          <w:sz w:val="20"/>
          <w:szCs w:val="20"/>
          <w:lang w:eastAsia="ru-RU"/>
        </w:rPr>
        <w:t>;</w:t>
      </w:r>
    </w:p>
    <w:p w:rsidR="00DA1DAE" w:rsidRPr="00261CE2" w:rsidRDefault="00497395" w:rsidP="00261CE2">
      <w:pPr>
        <w:pStyle w:val="a4"/>
        <w:numPr>
          <w:ilvl w:val="0"/>
          <w:numId w:val="3"/>
        </w:numPr>
        <w:shd w:val="clear" w:color="auto" w:fill="FFFFFF"/>
        <w:spacing w:after="0" w:line="240" w:lineRule="auto"/>
        <w:ind w:right="2"/>
        <w:contextualSpacing w:val="0"/>
        <w:rPr>
          <w:rFonts w:ascii="Arial" w:hAnsi="Arial" w:cs="Arial"/>
          <w:sz w:val="20"/>
          <w:szCs w:val="20"/>
          <w:lang w:eastAsia="ru-RU"/>
        </w:rPr>
      </w:pPr>
      <w:r w:rsidRPr="009C15BA">
        <w:rPr>
          <w:rFonts w:ascii="Arial" w:hAnsi="Arial" w:cs="Arial"/>
          <w:sz w:val="20"/>
          <w:szCs w:val="20"/>
          <w:lang w:eastAsia="ru-RU"/>
        </w:rPr>
        <w:t xml:space="preserve">Хранение Отправления в ПВЗ </w:t>
      </w:r>
      <w:r w:rsidR="005331CC">
        <w:rPr>
          <w:rFonts w:ascii="Arial" w:hAnsi="Arial" w:cs="Arial"/>
          <w:sz w:val="20"/>
          <w:szCs w:val="20"/>
          <w:lang w:eastAsia="ru-RU"/>
        </w:rPr>
        <w:t>в течение</w:t>
      </w:r>
      <w:r w:rsidRPr="009C15BA">
        <w:rPr>
          <w:rFonts w:ascii="Arial" w:hAnsi="Arial" w:cs="Arial"/>
          <w:sz w:val="20"/>
          <w:szCs w:val="20"/>
          <w:lang w:eastAsia="ru-RU"/>
        </w:rPr>
        <w:t xml:space="preserve"> – </w:t>
      </w:r>
      <w:r w:rsidR="00DA1DAE">
        <w:rPr>
          <w:rFonts w:ascii="Arial" w:hAnsi="Arial" w:cs="Arial"/>
          <w:sz w:val="20"/>
          <w:szCs w:val="20"/>
          <w:lang w:eastAsia="ru-RU"/>
        </w:rPr>
        <w:t>7 (семи</w:t>
      </w:r>
      <w:r>
        <w:rPr>
          <w:rFonts w:ascii="Arial" w:hAnsi="Arial" w:cs="Arial"/>
          <w:sz w:val="20"/>
          <w:szCs w:val="20"/>
          <w:lang w:eastAsia="ru-RU"/>
        </w:rPr>
        <w:t>)</w:t>
      </w:r>
      <w:r w:rsidRPr="009C15BA">
        <w:rPr>
          <w:rFonts w:ascii="Arial" w:hAnsi="Arial" w:cs="Arial"/>
          <w:sz w:val="20"/>
          <w:szCs w:val="20"/>
          <w:lang w:eastAsia="ru-RU"/>
        </w:rPr>
        <w:t xml:space="preserve"> полных календарных дня с момента направления Получателю ув</w:t>
      </w:r>
      <w:r>
        <w:rPr>
          <w:rFonts w:ascii="Arial" w:hAnsi="Arial" w:cs="Arial"/>
          <w:sz w:val="20"/>
          <w:szCs w:val="20"/>
          <w:lang w:eastAsia="ru-RU"/>
        </w:rPr>
        <w:t>едомления о доставке.</w:t>
      </w:r>
    </w:p>
    <w:p w:rsidR="00461C59" w:rsidRDefault="005331CC" w:rsidP="00461C59">
      <w:pPr>
        <w:pStyle w:val="a4"/>
        <w:tabs>
          <w:tab w:val="left" w:pos="567"/>
          <w:tab w:val="left" w:pos="709"/>
        </w:tabs>
        <w:spacing w:after="0"/>
        <w:jc w:val="both"/>
        <w:rPr>
          <w:rFonts w:ascii="Arial" w:hAnsi="Arial" w:cs="Arial"/>
          <w:b/>
          <w:color w:val="000000"/>
          <w:sz w:val="20"/>
          <w:szCs w:val="20"/>
        </w:rPr>
      </w:pPr>
      <w:r w:rsidRPr="005331CC">
        <w:rPr>
          <w:rFonts w:ascii="Arial" w:hAnsi="Arial" w:cs="Arial"/>
          <w:b/>
          <w:color w:val="000000"/>
          <w:sz w:val="20"/>
          <w:szCs w:val="20"/>
        </w:rPr>
        <w:t xml:space="preserve">К доставке принимаются отправления весом до 15 кг, со следующими ограничениями по габаритам: </w:t>
      </w:r>
    </w:p>
    <w:p w:rsidR="005331CC" w:rsidRPr="005331CC" w:rsidRDefault="005331CC" w:rsidP="00461C59">
      <w:pPr>
        <w:pStyle w:val="a4"/>
        <w:tabs>
          <w:tab w:val="left" w:pos="567"/>
          <w:tab w:val="left" w:pos="709"/>
        </w:tabs>
        <w:spacing w:after="0"/>
        <w:jc w:val="both"/>
        <w:rPr>
          <w:rFonts w:ascii="Arial" w:hAnsi="Arial" w:cs="Arial"/>
          <w:b/>
          <w:color w:val="000000"/>
          <w:sz w:val="20"/>
          <w:szCs w:val="20"/>
        </w:rPr>
      </w:pPr>
      <w:r w:rsidRPr="005331CC">
        <w:rPr>
          <w:rFonts w:ascii="Arial" w:hAnsi="Arial" w:cs="Arial"/>
          <w:b/>
          <w:color w:val="000000"/>
          <w:sz w:val="20"/>
          <w:szCs w:val="20"/>
        </w:rPr>
        <w:t xml:space="preserve">36см </w:t>
      </w:r>
      <w:proofErr w:type="spellStart"/>
      <w:r w:rsidRPr="005331CC">
        <w:rPr>
          <w:rFonts w:ascii="Arial" w:hAnsi="Arial" w:cs="Arial"/>
          <w:b/>
          <w:color w:val="000000"/>
          <w:sz w:val="20"/>
          <w:szCs w:val="20"/>
        </w:rPr>
        <w:t>х</w:t>
      </w:r>
      <w:proofErr w:type="spellEnd"/>
      <w:r w:rsidRPr="005331CC">
        <w:rPr>
          <w:rFonts w:ascii="Arial" w:hAnsi="Arial" w:cs="Arial"/>
          <w:b/>
          <w:color w:val="000000"/>
          <w:sz w:val="20"/>
          <w:szCs w:val="20"/>
        </w:rPr>
        <w:t xml:space="preserve"> 40см </w:t>
      </w:r>
      <w:proofErr w:type="spellStart"/>
      <w:r w:rsidRPr="005331CC">
        <w:rPr>
          <w:rFonts w:ascii="Arial" w:hAnsi="Arial" w:cs="Arial"/>
          <w:b/>
          <w:color w:val="000000"/>
          <w:sz w:val="20"/>
          <w:szCs w:val="20"/>
        </w:rPr>
        <w:t>х</w:t>
      </w:r>
      <w:proofErr w:type="spellEnd"/>
      <w:r w:rsidRPr="005331CC">
        <w:rPr>
          <w:rFonts w:ascii="Arial" w:hAnsi="Arial" w:cs="Arial"/>
          <w:b/>
          <w:color w:val="000000"/>
          <w:sz w:val="20"/>
          <w:szCs w:val="20"/>
        </w:rPr>
        <w:t xml:space="preserve"> 61см</w:t>
      </w:r>
    </w:p>
    <w:p w:rsidR="00CC7D4B" w:rsidRPr="00CC7D4B" w:rsidRDefault="00CC7D4B" w:rsidP="00CC7D4B">
      <w:pPr>
        <w:ind w:left="993"/>
        <w:rPr>
          <w:rFonts w:ascii="Arial" w:hAnsi="Arial" w:cs="Arial"/>
          <w:b/>
          <w:sz w:val="20"/>
          <w:szCs w:val="20"/>
        </w:rPr>
      </w:pPr>
    </w:p>
    <w:tbl>
      <w:tblPr>
        <w:tblW w:w="11312" w:type="dxa"/>
        <w:jc w:val="center"/>
        <w:tblLayout w:type="fixed"/>
        <w:tblLook w:val="04A0"/>
      </w:tblPr>
      <w:tblGrid>
        <w:gridCol w:w="1219"/>
        <w:gridCol w:w="6183"/>
        <w:gridCol w:w="1132"/>
        <w:gridCol w:w="1389"/>
        <w:gridCol w:w="1389"/>
      </w:tblGrid>
      <w:tr w:rsidR="00FC4105" w:rsidRPr="00035363" w:rsidTr="00902E33">
        <w:trPr>
          <w:trHeight w:val="1530"/>
          <w:jc w:val="center"/>
        </w:trPr>
        <w:tc>
          <w:tcPr>
            <w:tcW w:w="121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FC4105" w:rsidRPr="00035363" w:rsidRDefault="00FC4105" w:rsidP="00FC4105">
            <w:pPr>
              <w:spacing w:after="0" w:line="240" w:lineRule="auto"/>
              <w:jc w:val="center"/>
              <w:rPr>
                <w:rFonts w:ascii="Arial" w:eastAsia="Times New Roman" w:hAnsi="Arial" w:cs="Arial"/>
                <w:b/>
                <w:bCs/>
                <w:color w:val="000000"/>
                <w:sz w:val="20"/>
                <w:szCs w:val="20"/>
                <w:lang w:eastAsia="ru-RU"/>
              </w:rPr>
            </w:pPr>
            <w:r w:rsidRPr="00035363">
              <w:rPr>
                <w:rFonts w:ascii="Arial" w:eastAsia="Times New Roman" w:hAnsi="Arial" w:cs="Arial"/>
                <w:b/>
                <w:bCs/>
                <w:color w:val="000000"/>
                <w:sz w:val="20"/>
                <w:szCs w:val="20"/>
                <w:lang w:eastAsia="ru-RU"/>
              </w:rPr>
              <w:t>Тарифная зона</w:t>
            </w:r>
          </w:p>
        </w:tc>
        <w:tc>
          <w:tcPr>
            <w:tcW w:w="6183"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rsidR="00FC4105" w:rsidRPr="00035363" w:rsidRDefault="00FC4105" w:rsidP="00FC4105">
            <w:pPr>
              <w:spacing w:after="0" w:line="240" w:lineRule="auto"/>
              <w:jc w:val="center"/>
              <w:rPr>
                <w:rFonts w:ascii="Arial" w:eastAsia="Times New Roman" w:hAnsi="Arial" w:cs="Arial"/>
                <w:b/>
                <w:bCs/>
                <w:color w:val="000000"/>
                <w:sz w:val="20"/>
                <w:szCs w:val="20"/>
                <w:lang w:eastAsia="ru-RU"/>
              </w:rPr>
            </w:pPr>
            <w:r w:rsidRPr="00035363">
              <w:rPr>
                <w:rFonts w:ascii="Arial" w:eastAsia="Times New Roman" w:hAnsi="Arial" w:cs="Arial"/>
                <w:b/>
                <w:bCs/>
                <w:color w:val="000000"/>
                <w:sz w:val="20"/>
                <w:szCs w:val="20"/>
                <w:lang w:eastAsia="ru-RU"/>
              </w:rPr>
              <w:t>Города</w:t>
            </w:r>
          </w:p>
        </w:tc>
        <w:tc>
          <w:tcPr>
            <w:tcW w:w="1132"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rsidR="00FC4105" w:rsidRPr="00035363" w:rsidRDefault="00FC4105" w:rsidP="00FC4105">
            <w:pPr>
              <w:spacing w:after="0" w:line="240" w:lineRule="auto"/>
              <w:jc w:val="center"/>
              <w:rPr>
                <w:rFonts w:ascii="Arial" w:eastAsia="Times New Roman" w:hAnsi="Arial" w:cs="Arial"/>
                <w:b/>
                <w:bCs/>
                <w:color w:val="000000"/>
                <w:sz w:val="20"/>
                <w:szCs w:val="20"/>
                <w:lang w:eastAsia="ru-RU"/>
              </w:rPr>
            </w:pPr>
            <w:r w:rsidRPr="00035363">
              <w:rPr>
                <w:rFonts w:ascii="Arial" w:eastAsia="Times New Roman" w:hAnsi="Arial" w:cs="Arial"/>
                <w:b/>
                <w:bCs/>
                <w:color w:val="000000"/>
                <w:sz w:val="20"/>
                <w:szCs w:val="20"/>
                <w:lang w:eastAsia="ru-RU"/>
              </w:rPr>
              <w:t>Базовый</w:t>
            </w:r>
            <w:r w:rsidR="00631B0F">
              <w:rPr>
                <w:rFonts w:ascii="Arial" w:eastAsia="Times New Roman" w:hAnsi="Arial" w:cs="Arial"/>
                <w:b/>
                <w:bCs/>
                <w:color w:val="000000"/>
                <w:sz w:val="20"/>
                <w:szCs w:val="20"/>
                <w:lang w:eastAsia="ru-RU"/>
              </w:rPr>
              <w:t xml:space="preserve"> тариф, руб. с учетом НДС , до 3</w:t>
            </w:r>
            <w:r w:rsidRPr="00035363">
              <w:rPr>
                <w:rFonts w:ascii="Arial" w:eastAsia="Times New Roman" w:hAnsi="Arial" w:cs="Arial"/>
                <w:b/>
                <w:bCs/>
                <w:color w:val="000000"/>
                <w:sz w:val="20"/>
                <w:szCs w:val="20"/>
                <w:lang w:eastAsia="ru-RU"/>
              </w:rPr>
              <w:t xml:space="preserve"> кг</w:t>
            </w:r>
          </w:p>
        </w:tc>
        <w:tc>
          <w:tcPr>
            <w:tcW w:w="1389"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rsidR="00FC4105" w:rsidRPr="00035363" w:rsidRDefault="00FC4105" w:rsidP="00FC4105">
            <w:pPr>
              <w:spacing w:after="0" w:line="240" w:lineRule="auto"/>
              <w:jc w:val="center"/>
              <w:rPr>
                <w:rFonts w:ascii="Arial" w:eastAsia="Times New Roman" w:hAnsi="Arial" w:cs="Arial"/>
                <w:b/>
                <w:bCs/>
                <w:color w:val="000000"/>
                <w:sz w:val="20"/>
                <w:szCs w:val="20"/>
                <w:lang w:eastAsia="ru-RU"/>
              </w:rPr>
            </w:pPr>
            <w:r w:rsidRPr="00035363">
              <w:rPr>
                <w:rFonts w:ascii="Arial" w:eastAsia="Times New Roman" w:hAnsi="Arial" w:cs="Arial"/>
                <w:b/>
                <w:bCs/>
                <w:color w:val="000000"/>
                <w:sz w:val="20"/>
                <w:szCs w:val="20"/>
                <w:lang w:eastAsia="ru-RU"/>
              </w:rPr>
              <w:t>Тариф за каждый следующий кг, руб. с учетом НДС*</w:t>
            </w:r>
          </w:p>
        </w:tc>
        <w:tc>
          <w:tcPr>
            <w:tcW w:w="1389" w:type="dxa"/>
            <w:tcBorders>
              <w:top w:val="single" w:sz="4" w:space="0" w:color="auto"/>
              <w:left w:val="nil"/>
              <w:bottom w:val="single" w:sz="4" w:space="0" w:color="auto"/>
              <w:right w:val="single" w:sz="4" w:space="0" w:color="auto"/>
            </w:tcBorders>
            <w:shd w:val="clear" w:color="auto" w:fill="EDEDED" w:themeFill="accent3" w:themeFillTint="33"/>
            <w:vAlign w:val="center"/>
          </w:tcPr>
          <w:p w:rsidR="00FC4105" w:rsidRDefault="00FC4105" w:rsidP="00FC4105">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Срок доставки</w:t>
            </w:r>
          </w:p>
          <w:p w:rsidR="00FC4105" w:rsidRPr="00897EA4" w:rsidRDefault="00FC4105" w:rsidP="00FC4105">
            <w:pPr>
              <w:spacing w:after="0" w:line="240" w:lineRule="auto"/>
              <w:jc w:val="center"/>
              <w:rPr>
                <w:rFonts w:ascii="Arial" w:eastAsia="Times New Roman" w:hAnsi="Arial" w:cs="Arial"/>
                <w:bCs/>
                <w:color w:val="000000"/>
                <w:sz w:val="18"/>
                <w:szCs w:val="18"/>
                <w:lang w:eastAsia="ru-RU"/>
              </w:rPr>
            </w:pPr>
            <w:r w:rsidRPr="00897EA4">
              <w:rPr>
                <w:rFonts w:ascii="Arial" w:eastAsia="Times New Roman" w:hAnsi="Arial" w:cs="Arial"/>
                <w:bCs/>
                <w:color w:val="000000"/>
                <w:sz w:val="18"/>
                <w:szCs w:val="18"/>
                <w:lang w:eastAsia="ru-RU"/>
              </w:rPr>
              <w:t>(календарных дней)</w:t>
            </w:r>
          </w:p>
        </w:tc>
      </w:tr>
      <w:tr w:rsidR="00FC4105" w:rsidRPr="00035363" w:rsidTr="009D0EC8">
        <w:trPr>
          <w:trHeight w:val="30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1</w:t>
            </w:r>
          </w:p>
        </w:tc>
        <w:tc>
          <w:tcPr>
            <w:tcW w:w="6183" w:type="dxa"/>
            <w:tcBorders>
              <w:top w:val="nil"/>
              <w:left w:val="nil"/>
              <w:bottom w:val="single" w:sz="4" w:space="0" w:color="auto"/>
              <w:right w:val="single" w:sz="4" w:space="0" w:color="auto"/>
            </w:tcBorders>
            <w:shd w:val="clear" w:color="auto" w:fill="auto"/>
            <w:vAlign w:val="center"/>
            <w:hideMark/>
          </w:tcPr>
          <w:p w:rsidR="00FC4105" w:rsidRPr="00261CE2" w:rsidRDefault="00FC4105" w:rsidP="00FC4105">
            <w:pPr>
              <w:jc w:val="center"/>
              <w:rPr>
                <w:rFonts w:ascii="Times New Roman" w:hAnsi="Times New Roman"/>
                <w:sz w:val="24"/>
                <w:szCs w:val="24"/>
                <w:lang w:eastAsia="ru-RU"/>
              </w:rPr>
            </w:pPr>
            <w:r w:rsidRPr="00035363">
              <w:rPr>
                <w:rFonts w:ascii="Arial" w:eastAsia="Times New Roman" w:hAnsi="Arial" w:cs="Arial"/>
                <w:color w:val="000000"/>
                <w:sz w:val="20"/>
                <w:szCs w:val="20"/>
                <w:lang w:eastAsia="ru-RU"/>
              </w:rPr>
              <w:t>Санкт-Петербург</w:t>
            </w:r>
          </w:p>
        </w:tc>
        <w:tc>
          <w:tcPr>
            <w:tcW w:w="1132" w:type="dxa"/>
            <w:tcBorders>
              <w:top w:val="nil"/>
              <w:left w:val="nil"/>
              <w:bottom w:val="single" w:sz="4" w:space="0" w:color="auto"/>
              <w:right w:val="single" w:sz="4" w:space="0" w:color="auto"/>
            </w:tcBorders>
            <w:shd w:val="clear" w:color="auto" w:fill="auto"/>
            <w:vAlign w:val="center"/>
            <w:hideMark/>
          </w:tcPr>
          <w:p w:rsidR="00FC4105" w:rsidRPr="005279A0" w:rsidRDefault="00FC4105" w:rsidP="00FC4105">
            <w:pPr>
              <w:shd w:val="clear" w:color="auto" w:fill="FFFFFF"/>
              <w:spacing w:after="0" w:line="240" w:lineRule="auto"/>
              <w:jc w:val="center"/>
              <w:rPr>
                <w:rFonts w:ascii="Arial" w:eastAsia="Times New Roman" w:hAnsi="Arial" w:cs="Arial"/>
                <w:bCs/>
                <w:snapToGrid w:val="0"/>
                <w:spacing w:val="1"/>
                <w:sz w:val="20"/>
                <w:szCs w:val="20"/>
                <w:lang w:eastAsia="zh-CN"/>
              </w:rPr>
            </w:pPr>
            <w:r>
              <w:rPr>
                <w:rFonts w:ascii="Times New Roman" w:hAnsi="Times New Roman"/>
              </w:rPr>
              <w:t>129</w:t>
            </w:r>
          </w:p>
          <w:p w:rsidR="00FC4105" w:rsidRDefault="00FC4105" w:rsidP="00FC4105">
            <w:pPr>
              <w:spacing w:after="0" w:line="240" w:lineRule="auto"/>
              <w:jc w:val="center"/>
              <w:rPr>
                <w:rFonts w:ascii="Arial" w:hAnsi="Arial" w:cs="Arial"/>
                <w:color w:val="000000"/>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18</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bookmarkStart w:id="0" w:name="_GoBack"/>
        <w:bookmarkEnd w:id="0"/>
      </w:tr>
      <w:tr w:rsidR="00FC4105" w:rsidRPr="00035363" w:rsidTr="009D0EC8">
        <w:trPr>
          <w:trHeight w:val="30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2</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Ленинградская область</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138</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18</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w:t>
            </w:r>
          </w:p>
        </w:tc>
      </w:tr>
      <w:tr w:rsidR="00FC4105" w:rsidRPr="00035363" w:rsidTr="009D0EC8">
        <w:trPr>
          <w:trHeight w:val="30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3</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Москва (в пределах МКАД)</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Calibri" w:hAnsi="Calibri" w:cs="Calibri"/>
                <w:color w:val="000000"/>
              </w:rPr>
              <w:t>148</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18</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3</w:t>
            </w:r>
          </w:p>
        </w:tc>
      </w:tr>
      <w:tr w:rsidR="00FC4105" w:rsidRPr="00035363" w:rsidTr="009D0EC8">
        <w:trPr>
          <w:trHeight w:val="204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4</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Вологда, Псков, Новгород, Белгород, Брянск, Владимир, Воронеж, Иваново, Калуга, Кострома, Курск, Липецк, Московская область и Москва за МКАД, Орел, Рязань, Смоленск, Тамбов, Тверь, Тула, Ярославль, Уфа, Киров, Йошкар-Ола, Саранск, Нижний Новгород, Оренбург, Пенза, Пермь, Самара, Саратов, Казань, Ижевск, Ульяновск, Чебоксары, Майкоп, Астрахань, Волгоград, Элиста, Краснодар, Ростов-на-Дону</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160</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36</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r>
      <w:tr w:rsidR="00FC4105" w:rsidRPr="00035363" w:rsidTr="009D0EC8">
        <w:trPr>
          <w:trHeight w:val="434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5</w:t>
            </w:r>
          </w:p>
        </w:tc>
        <w:tc>
          <w:tcPr>
            <w:tcW w:w="6183" w:type="dxa"/>
            <w:tcBorders>
              <w:top w:val="nil"/>
              <w:left w:val="nil"/>
              <w:bottom w:val="single" w:sz="4" w:space="0" w:color="auto"/>
              <w:right w:val="single" w:sz="4" w:space="0" w:color="auto"/>
            </w:tcBorders>
            <w:shd w:val="clear" w:color="auto" w:fill="auto"/>
            <w:vAlign w:val="center"/>
            <w:hideMark/>
          </w:tcPr>
          <w:p w:rsidR="00FC4105" w:rsidRPr="00261CE2" w:rsidRDefault="00FC4105" w:rsidP="00FC4105">
            <w:pPr>
              <w:jc w:val="both"/>
              <w:rPr>
                <w:rFonts w:ascii="Times New Roman" w:hAnsi="Times New Roman"/>
                <w:sz w:val="24"/>
                <w:szCs w:val="24"/>
                <w:lang w:eastAsia="ru-RU"/>
              </w:rPr>
            </w:pPr>
            <w:r w:rsidRPr="00035363">
              <w:rPr>
                <w:rFonts w:ascii="Arial" w:eastAsia="Times New Roman" w:hAnsi="Arial" w:cs="Arial"/>
                <w:color w:val="000000"/>
                <w:sz w:val="20"/>
                <w:szCs w:val="20"/>
                <w:lang w:eastAsia="ru-RU"/>
              </w:rPr>
              <w:t>Города субъектов федерации кроме областных центров (столиц респуб</w:t>
            </w:r>
            <w:r>
              <w:rPr>
                <w:rFonts w:ascii="Arial" w:eastAsia="Times New Roman" w:hAnsi="Arial" w:cs="Arial"/>
                <w:color w:val="000000"/>
                <w:sz w:val="20"/>
                <w:szCs w:val="20"/>
                <w:lang w:eastAsia="ru-RU"/>
              </w:rPr>
              <w:t xml:space="preserve">лик): Вологодская область, </w:t>
            </w:r>
            <w:r w:rsidRPr="00035363">
              <w:rPr>
                <w:rFonts w:ascii="Arial" w:eastAsia="Times New Roman" w:hAnsi="Arial" w:cs="Arial"/>
                <w:color w:val="000000"/>
                <w:sz w:val="20"/>
                <w:szCs w:val="20"/>
                <w:lang w:eastAsia="ru-RU"/>
              </w:rPr>
              <w:t>Новгородская область, Псковская область, 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Орловская область, Рязанская область, Смоленская область, Тамбовская область, Тульская область, Ярославская область, Республика Башкортостан, Кировская область, Республика Марий Эл, Республика Мордовия, Нижегородская область, Оренбургская область, Пензенская область, Пермский край, Самарская область, Саратовская область, Республика Татарстан, Удмуртская Республика, Ульяновская область, Чувашская Республика, Республика Адыгея, Астраханская область, Волгоградская область, Республика Калмыкия, Краснодарский край, Ростовская область.</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205</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36</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r>
      <w:tr w:rsidR="00FC4105" w:rsidRPr="00035363" w:rsidTr="009D0EC8">
        <w:trPr>
          <w:trHeight w:val="765"/>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6</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Курган, Мурманск, Петрозаводск, Сыктывкар, Екатеринбург, Тюмень, Челябинск,Нальчик, Черкесск, Владикавказ, Ставрополь</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180</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36</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6</w:t>
            </w:r>
          </w:p>
        </w:tc>
      </w:tr>
      <w:tr w:rsidR="00FC4105" w:rsidRPr="00035363" w:rsidTr="009D0EC8">
        <w:trPr>
          <w:trHeight w:val="204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7</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Города субъектов федерации кроме областных центров (столиц республик): Курганская область, Мурманская область, Республика Карелия, Республика Коми, Свердловская область, Тюменская область, Челябинская область,Кабардино-Балкарская республика</w:t>
            </w:r>
            <w:r w:rsidRPr="00035363">
              <w:rPr>
                <w:rFonts w:ascii="Arial" w:eastAsia="Times New Roman" w:hAnsi="Arial" w:cs="Arial"/>
                <w:color w:val="FF0000"/>
                <w:sz w:val="20"/>
                <w:szCs w:val="20"/>
                <w:lang w:eastAsia="ru-RU"/>
              </w:rPr>
              <w:t xml:space="preserve">, </w:t>
            </w:r>
            <w:r w:rsidRPr="00035363">
              <w:rPr>
                <w:rFonts w:ascii="Arial" w:eastAsia="Times New Roman" w:hAnsi="Arial" w:cs="Arial"/>
                <w:color w:val="000000"/>
                <w:sz w:val="20"/>
                <w:szCs w:val="20"/>
                <w:lang w:eastAsia="ru-RU"/>
              </w:rPr>
              <w:t>Карачаево-Черкесская республика, Республика Северная Осетия, Ставропольский край</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225</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36</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w:t>
            </w:r>
          </w:p>
        </w:tc>
      </w:tr>
      <w:tr w:rsidR="00FC4105" w:rsidRPr="00035363" w:rsidTr="009D0EC8">
        <w:trPr>
          <w:trHeight w:val="51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lastRenderedPageBreak/>
              <w:t>8</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Архангельск, Горно-Алтайск, Барнаул, Кемерово, Красноярск, Новосибирск, Омск, Томск, Абакан</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217</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54</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r>
      <w:tr w:rsidR="00FC4105" w:rsidRPr="00035363" w:rsidTr="009D0EC8">
        <w:trPr>
          <w:trHeight w:val="1275"/>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9</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Города субъектов федерации кроме областных центров (столиц республик): Республика Алтай, Алтайский Край, Кемеровская область, Красноярский Край, Новосибирская область, Омская область, Томская область, Республика Хакасия</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259</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54</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p>
        </w:tc>
      </w:tr>
      <w:tr w:rsidR="00FC4105" w:rsidRPr="00035363" w:rsidTr="009D0EC8">
        <w:trPr>
          <w:trHeight w:val="30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10</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Города Архангельской области кроме Архангельска</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268</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54</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r>
      <w:tr w:rsidR="00FC4105" w:rsidRPr="00035363" w:rsidTr="009D0EC8">
        <w:trPr>
          <w:trHeight w:val="30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11</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Ханты-Мансийск</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264</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54</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r>
      <w:tr w:rsidR="00FC4105" w:rsidRPr="00035363" w:rsidTr="009D0EC8">
        <w:trPr>
          <w:trHeight w:val="51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12</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Города Ханты-Мансийского автономного округа кроме Ханты-Мансийска</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308</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54</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p>
        </w:tc>
      </w:tr>
      <w:tr w:rsidR="00FC4105" w:rsidRPr="00035363" w:rsidTr="009D0EC8">
        <w:trPr>
          <w:trHeight w:val="30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13</w:t>
            </w:r>
          </w:p>
        </w:tc>
        <w:tc>
          <w:tcPr>
            <w:tcW w:w="6183" w:type="dxa"/>
            <w:tcBorders>
              <w:top w:val="nil"/>
              <w:left w:val="nil"/>
              <w:bottom w:val="single" w:sz="4" w:space="0" w:color="auto"/>
              <w:right w:val="single" w:sz="4" w:space="0" w:color="auto"/>
            </w:tcBorders>
            <w:shd w:val="clear" w:color="auto" w:fill="auto"/>
            <w:vAlign w:val="center"/>
            <w:hideMark/>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sidRPr="00035363">
              <w:rPr>
                <w:rFonts w:ascii="Arial" w:eastAsia="Times New Roman" w:hAnsi="Arial" w:cs="Arial"/>
                <w:color w:val="000000"/>
                <w:sz w:val="20"/>
                <w:szCs w:val="20"/>
                <w:lang w:eastAsia="ru-RU"/>
              </w:rPr>
              <w:t>Города Ямало-Ненецкого автономного округа</w:t>
            </w:r>
          </w:p>
        </w:tc>
        <w:tc>
          <w:tcPr>
            <w:tcW w:w="1132"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342</w:t>
            </w:r>
          </w:p>
        </w:tc>
        <w:tc>
          <w:tcPr>
            <w:tcW w:w="1389" w:type="dxa"/>
            <w:tcBorders>
              <w:top w:val="nil"/>
              <w:left w:val="nil"/>
              <w:bottom w:val="single" w:sz="4" w:space="0" w:color="auto"/>
              <w:right w:val="single" w:sz="4" w:space="0" w:color="auto"/>
            </w:tcBorders>
            <w:shd w:val="clear" w:color="auto" w:fill="auto"/>
            <w:vAlign w:val="center"/>
            <w:hideMark/>
          </w:tcPr>
          <w:p w:rsidR="00FC4105" w:rsidRDefault="00FC4105" w:rsidP="00FC4105">
            <w:pPr>
              <w:jc w:val="center"/>
              <w:rPr>
                <w:rFonts w:ascii="Arial" w:hAnsi="Arial" w:cs="Arial"/>
                <w:color w:val="000000"/>
                <w:sz w:val="20"/>
                <w:szCs w:val="20"/>
              </w:rPr>
            </w:pPr>
            <w:r>
              <w:rPr>
                <w:rFonts w:ascii="Times New Roman" w:hAnsi="Times New Roman"/>
              </w:rPr>
              <w:t>72</w:t>
            </w:r>
          </w:p>
        </w:tc>
        <w:tc>
          <w:tcPr>
            <w:tcW w:w="1389" w:type="dxa"/>
            <w:tcBorders>
              <w:top w:val="nil"/>
              <w:left w:val="nil"/>
              <w:bottom w:val="single" w:sz="4" w:space="0" w:color="auto"/>
              <w:right w:val="single" w:sz="4" w:space="0" w:color="auto"/>
            </w:tcBorders>
            <w:vAlign w:val="center"/>
          </w:tcPr>
          <w:p w:rsidR="00FC4105" w:rsidRPr="00035363" w:rsidRDefault="00FC4105" w:rsidP="00FC410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p>
        </w:tc>
      </w:tr>
    </w:tbl>
    <w:p w:rsidR="00261CE2" w:rsidRDefault="00261CE2" w:rsidP="006D64DE">
      <w:pPr>
        <w:tabs>
          <w:tab w:val="left" w:pos="567"/>
          <w:tab w:val="left" w:pos="709"/>
        </w:tabs>
        <w:spacing w:after="0"/>
        <w:ind w:firstLine="567"/>
        <w:jc w:val="both"/>
        <w:rPr>
          <w:rFonts w:ascii="Arial" w:hAnsi="Arial" w:cs="Arial"/>
          <w:sz w:val="20"/>
          <w:szCs w:val="20"/>
        </w:rPr>
      </w:pPr>
    </w:p>
    <w:p w:rsidR="00497395" w:rsidRDefault="00497395" w:rsidP="005331CC">
      <w:pPr>
        <w:pStyle w:val="a4"/>
        <w:spacing w:after="0" w:line="240" w:lineRule="auto"/>
        <w:contextualSpacing w:val="0"/>
        <w:rPr>
          <w:rFonts w:ascii="Arial" w:hAnsi="Arial" w:cs="Arial"/>
          <w:b/>
          <w:sz w:val="20"/>
          <w:szCs w:val="20"/>
        </w:rPr>
      </w:pPr>
      <w:r w:rsidRPr="00744C00">
        <w:rPr>
          <w:rFonts w:ascii="Arial" w:hAnsi="Arial" w:cs="Arial"/>
          <w:b/>
          <w:sz w:val="20"/>
          <w:szCs w:val="20"/>
        </w:rPr>
        <w:t>Дополнительные услуги.</w:t>
      </w:r>
    </w:p>
    <w:p w:rsidR="005331CC" w:rsidRPr="00744C00" w:rsidRDefault="005331CC" w:rsidP="005331CC">
      <w:pPr>
        <w:pStyle w:val="a4"/>
        <w:spacing w:after="0" w:line="240" w:lineRule="auto"/>
        <w:contextualSpacing w:val="0"/>
        <w:rPr>
          <w:rFonts w:ascii="Arial" w:hAnsi="Arial" w:cs="Arial"/>
          <w:b/>
          <w:sz w:val="20"/>
          <w:szCs w:val="20"/>
        </w:rPr>
      </w:pPr>
    </w:p>
    <w:tbl>
      <w:tblPr>
        <w:tblW w:w="5000" w:type="pct"/>
        <w:jc w:val="center"/>
        <w:tblBorders>
          <w:top w:val="single" w:sz="4" w:space="0" w:color="auto"/>
          <w:bottom w:val="single" w:sz="4" w:space="0" w:color="auto"/>
          <w:insideH w:val="single" w:sz="4" w:space="0" w:color="auto"/>
        </w:tblBorders>
        <w:tblLook w:val="04A0"/>
      </w:tblPr>
      <w:tblGrid>
        <w:gridCol w:w="3949"/>
        <w:gridCol w:w="2450"/>
        <w:gridCol w:w="4283"/>
      </w:tblGrid>
      <w:tr w:rsidR="00497395" w:rsidRPr="00744C00" w:rsidTr="008D0B73">
        <w:trPr>
          <w:trHeight w:val="177"/>
          <w:tblHeader/>
          <w:jc w:val="center"/>
        </w:trPr>
        <w:tc>
          <w:tcPr>
            <w:tcW w:w="1848" w:type="pct"/>
            <w:shd w:val="clear" w:color="auto" w:fill="F2F2F2" w:themeFill="background1" w:themeFillShade="F2"/>
            <w:vAlign w:val="center"/>
          </w:tcPr>
          <w:p w:rsidR="00497395" w:rsidRPr="00744C00" w:rsidRDefault="00497395" w:rsidP="00CC7D4B">
            <w:pPr>
              <w:spacing w:line="220" w:lineRule="exact"/>
              <w:ind w:left="80"/>
              <w:contextualSpacing/>
              <w:jc w:val="center"/>
              <w:rPr>
                <w:rFonts w:ascii="Arial" w:hAnsi="Arial" w:cs="Arial"/>
                <w:b/>
                <w:sz w:val="20"/>
                <w:szCs w:val="20"/>
              </w:rPr>
            </w:pPr>
            <w:r w:rsidRPr="00744C00">
              <w:rPr>
                <w:rFonts w:ascii="Arial" w:hAnsi="Arial" w:cs="Arial"/>
                <w:b/>
                <w:sz w:val="20"/>
                <w:szCs w:val="20"/>
              </w:rPr>
              <w:t>Наименование услуги</w:t>
            </w:r>
          </w:p>
        </w:tc>
        <w:tc>
          <w:tcPr>
            <w:tcW w:w="1147" w:type="pct"/>
            <w:shd w:val="clear" w:color="auto" w:fill="F2F2F2" w:themeFill="background1" w:themeFillShade="F2"/>
            <w:vAlign w:val="center"/>
          </w:tcPr>
          <w:p w:rsidR="00497395" w:rsidRPr="00744C00" w:rsidRDefault="00497395" w:rsidP="008D0B73">
            <w:pPr>
              <w:spacing w:line="220" w:lineRule="exact"/>
              <w:contextualSpacing/>
              <w:jc w:val="center"/>
              <w:rPr>
                <w:rFonts w:ascii="Arial" w:hAnsi="Arial" w:cs="Arial"/>
                <w:b/>
                <w:sz w:val="20"/>
                <w:szCs w:val="20"/>
              </w:rPr>
            </w:pPr>
            <w:r w:rsidRPr="00744C00">
              <w:rPr>
                <w:rFonts w:ascii="Arial" w:hAnsi="Arial" w:cs="Arial"/>
                <w:b/>
                <w:sz w:val="20"/>
                <w:szCs w:val="20"/>
              </w:rPr>
              <w:t xml:space="preserve">Стоимость услуг (руб.), </w:t>
            </w:r>
            <w:r w:rsidRPr="00744C00">
              <w:rPr>
                <w:rFonts w:ascii="Arial" w:hAnsi="Arial" w:cs="Arial"/>
                <w:b/>
                <w:sz w:val="20"/>
                <w:szCs w:val="20"/>
              </w:rPr>
              <w:br/>
            </w:r>
            <w:r>
              <w:rPr>
                <w:rFonts w:ascii="Arial" w:hAnsi="Arial" w:cs="Arial"/>
                <w:b/>
                <w:sz w:val="20"/>
                <w:szCs w:val="20"/>
              </w:rPr>
              <w:t xml:space="preserve">с учетом </w:t>
            </w:r>
            <w:r w:rsidRPr="00744C00">
              <w:rPr>
                <w:rFonts w:ascii="Arial" w:hAnsi="Arial" w:cs="Arial"/>
                <w:b/>
                <w:sz w:val="20"/>
                <w:szCs w:val="20"/>
              </w:rPr>
              <w:t>НДС</w:t>
            </w:r>
          </w:p>
        </w:tc>
        <w:tc>
          <w:tcPr>
            <w:tcW w:w="2005" w:type="pct"/>
            <w:shd w:val="clear" w:color="auto" w:fill="F2F2F2" w:themeFill="background1" w:themeFillShade="F2"/>
            <w:vAlign w:val="center"/>
          </w:tcPr>
          <w:p w:rsidR="00497395" w:rsidRPr="00744C00" w:rsidRDefault="00497395" w:rsidP="008D0B73">
            <w:pPr>
              <w:spacing w:line="220" w:lineRule="exact"/>
              <w:contextualSpacing/>
              <w:jc w:val="center"/>
              <w:rPr>
                <w:rFonts w:ascii="Arial" w:hAnsi="Arial" w:cs="Arial"/>
                <w:b/>
                <w:sz w:val="20"/>
                <w:szCs w:val="20"/>
              </w:rPr>
            </w:pPr>
            <w:r w:rsidRPr="00744C00">
              <w:rPr>
                <w:rFonts w:ascii="Arial" w:hAnsi="Arial" w:cs="Arial"/>
                <w:b/>
                <w:sz w:val="20"/>
                <w:szCs w:val="20"/>
              </w:rPr>
              <w:t>Примечание</w:t>
            </w:r>
          </w:p>
        </w:tc>
      </w:tr>
      <w:tr w:rsidR="00497395" w:rsidRPr="00744C00" w:rsidTr="008D0B73">
        <w:trPr>
          <w:trHeight w:val="188"/>
          <w:tblHeader/>
          <w:jc w:val="center"/>
        </w:trPr>
        <w:tc>
          <w:tcPr>
            <w:tcW w:w="1848" w:type="pct"/>
          </w:tcPr>
          <w:p w:rsidR="00497395" w:rsidRPr="00744C00" w:rsidRDefault="00497395" w:rsidP="008D0B73">
            <w:pPr>
              <w:spacing w:line="220" w:lineRule="exact"/>
              <w:ind w:left="80"/>
              <w:contextualSpacing/>
              <w:rPr>
                <w:rFonts w:ascii="Arial" w:hAnsi="Arial" w:cs="Arial"/>
                <w:sz w:val="20"/>
                <w:szCs w:val="20"/>
              </w:rPr>
            </w:pPr>
            <w:r w:rsidRPr="00744C00">
              <w:rPr>
                <w:rFonts w:ascii="Arial" w:hAnsi="Arial" w:cs="Arial"/>
                <w:sz w:val="20"/>
                <w:szCs w:val="20"/>
              </w:rPr>
              <w:t>Прием Отправлений с объявлением ценности</w:t>
            </w:r>
          </w:p>
        </w:tc>
        <w:tc>
          <w:tcPr>
            <w:tcW w:w="1147" w:type="pct"/>
          </w:tcPr>
          <w:p w:rsidR="00497395" w:rsidRPr="00744C00" w:rsidRDefault="00497395" w:rsidP="008D0B73">
            <w:pPr>
              <w:spacing w:line="220" w:lineRule="exact"/>
              <w:contextualSpacing/>
              <w:jc w:val="center"/>
              <w:rPr>
                <w:rFonts w:ascii="Arial" w:hAnsi="Arial" w:cs="Arial"/>
                <w:sz w:val="20"/>
                <w:szCs w:val="20"/>
              </w:rPr>
            </w:pPr>
            <w:r w:rsidRPr="00744C00">
              <w:rPr>
                <w:rFonts w:ascii="Arial" w:hAnsi="Arial" w:cs="Arial"/>
                <w:sz w:val="20"/>
                <w:szCs w:val="20"/>
              </w:rPr>
              <w:t>0,5% от Объявленной стоимости Отправления</w:t>
            </w:r>
          </w:p>
        </w:tc>
        <w:tc>
          <w:tcPr>
            <w:tcW w:w="2005" w:type="pct"/>
          </w:tcPr>
          <w:p w:rsidR="00497395" w:rsidRPr="00744C00" w:rsidRDefault="00497395" w:rsidP="008D0B73">
            <w:pPr>
              <w:spacing w:line="220" w:lineRule="exact"/>
              <w:contextualSpacing/>
              <w:jc w:val="both"/>
              <w:rPr>
                <w:rFonts w:ascii="Arial" w:hAnsi="Arial" w:cs="Arial"/>
                <w:sz w:val="20"/>
                <w:szCs w:val="20"/>
              </w:rPr>
            </w:pPr>
            <w:r w:rsidRPr="00744C00">
              <w:rPr>
                <w:rFonts w:ascii="Arial" w:hAnsi="Arial" w:cs="Arial"/>
                <w:sz w:val="20"/>
                <w:szCs w:val="20"/>
              </w:rPr>
              <w:t xml:space="preserve">По умолчанию все Отправления принимаются с объявлением ценности, если иное не зафиксировано в Личном кабинете. </w:t>
            </w:r>
          </w:p>
        </w:tc>
      </w:tr>
      <w:tr w:rsidR="00497395" w:rsidRPr="00744C00" w:rsidTr="008D0B73">
        <w:trPr>
          <w:trHeight w:val="188"/>
          <w:tblHeader/>
          <w:jc w:val="center"/>
        </w:trPr>
        <w:tc>
          <w:tcPr>
            <w:tcW w:w="1848" w:type="pct"/>
            <w:vAlign w:val="center"/>
          </w:tcPr>
          <w:p w:rsidR="00497395" w:rsidRPr="00744C00" w:rsidRDefault="00497395" w:rsidP="008D0B73">
            <w:pPr>
              <w:spacing w:line="220" w:lineRule="exact"/>
              <w:ind w:left="80"/>
              <w:contextualSpacing/>
              <w:rPr>
                <w:rFonts w:ascii="Arial" w:hAnsi="Arial" w:cs="Arial"/>
                <w:sz w:val="20"/>
                <w:szCs w:val="20"/>
              </w:rPr>
            </w:pPr>
            <w:r w:rsidRPr="00744C00">
              <w:rPr>
                <w:rFonts w:ascii="Arial" w:hAnsi="Arial" w:cs="Arial"/>
                <w:sz w:val="20"/>
                <w:szCs w:val="20"/>
              </w:rPr>
              <w:t>Возврат невостребованных Отправлений</w:t>
            </w:r>
          </w:p>
        </w:tc>
        <w:tc>
          <w:tcPr>
            <w:tcW w:w="1147" w:type="pct"/>
            <w:vAlign w:val="center"/>
          </w:tcPr>
          <w:p w:rsidR="00497395" w:rsidRPr="00744C00" w:rsidRDefault="00497395" w:rsidP="008D0B73">
            <w:pPr>
              <w:spacing w:line="220" w:lineRule="exact"/>
              <w:contextualSpacing/>
              <w:jc w:val="center"/>
              <w:rPr>
                <w:rFonts w:ascii="Arial" w:hAnsi="Arial" w:cs="Arial"/>
                <w:sz w:val="20"/>
                <w:szCs w:val="20"/>
              </w:rPr>
            </w:pPr>
            <w:r>
              <w:rPr>
                <w:rFonts w:ascii="Arial" w:hAnsi="Arial" w:cs="Arial"/>
                <w:sz w:val="20"/>
                <w:szCs w:val="20"/>
              </w:rPr>
              <w:t>5</w:t>
            </w:r>
            <w:r w:rsidRPr="00744C00">
              <w:rPr>
                <w:rFonts w:ascii="Arial" w:hAnsi="Arial" w:cs="Arial"/>
                <w:sz w:val="20"/>
                <w:szCs w:val="20"/>
              </w:rPr>
              <w:t>0% от Тарифа доставки Отправлений</w:t>
            </w:r>
          </w:p>
        </w:tc>
        <w:tc>
          <w:tcPr>
            <w:tcW w:w="2005" w:type="pct"/>
            <w:vAlign w:val="center"/>
          </w:tcPr>
          <w:p w:rsidR="00497395" w:rsidRPr="002537ED" w:rsidRDefault="00497395" w:rsidP="008D0B73">
            <w:pPr>
              <w:spacing w:line="220" w:lineRule="exact"/>
              <w:contextualSpacing/>
              <w:jc w:val="both"/>
              <w:rPr>
                <w:rFonts w:ascii="Arial" w:hAnsi="Arial" w:cs="Arial"/>
                <w:sz w:val="20"/>
                <w:szCs w:val="20"/>
              </w:rPr>
            </w:pPr>
            <w:r w:rsidRPr="00574304">
              <w:rPr>
                <w:rFonts w:ascii="Arial" w:hAnsi="Arial" w:cs="Arial"/>
                <w:sz w:val="20"/>
                <w:szCs w:val="20"/>
              </w:rPr>
              <w:t xml:space="preserve">Стоимость услуг за доставку впоследствии возвращенного невостребованного отправления и стоимость услуг возврата такого отправления </w:t>
            </w:r>
            <w:r>
              <w:rPr>
                <w:rFonts w:ascii="Arial" w:hAnsi="Arial" w:cs="Arial"/>
                <w:sz w:val="20"/>
                <w:szCs w:val="20"/>
              </w:rPr>
              <w:t xml:space="preserve">выставляется </w:t>
            </w:r>
            <w:r w:rsidRPr="00574304">
              <w:rPr>
                <w:rFonts w:ascii="Arial" w:hAnsi="Arial" w:cs="Arial"/>
                <w:sz w:val="20"/>
                <w:szCs w:val="20"/>
              </w:rPr>
              <w:t>одновременно в момент возврата.</w:t>
            </w:r>
          </w:p>
        </w:tc>
      </w:tr>
      <w:tr w:rsidR="00497395" w:rsidRPr="00744C00" w:rsidTr="008D0B73">
        <w:trPr>
          <w:trHeight w:val="188"/>
          <w:tblHeader/>
          <w:jc w:val="center"/>
        </w:trPr>
        <w:tc>
          <w:tcPr>
            <w:tcW w:w="1848" w:type="pct"/>
            <w:vAlign w:val="center"/>
          </w:tcPr>
          <w:p w:rsidR="00497395" w:rsidRPr="00744C00" w:rsidRDefault="00497395" w:rsidP="008D0B73">
            <w:pPr>
              <w:spacing w:line="220" w:lineRule="exact"/>
              <w:ind w:left="80"/>
              <w:contextualSpacing/>
              <w:rPr>
                <w:rFonts w:ascii="Arial" w:hAnsi="Arial" w:cs="Arial"/>
                <w:sz w:val="20"/>
                <w:szCs w:val="20"/>
              </w:rPr>
            </w:pPr>
            <w:r>
              <w:rPr>
                <w:rFonts w:ascii="Arial" w:hAnsi="Arial" w:cs="Arial"/>
                <w:sz w:val="20"/>
                <w:szCs w:val="20"/>
              </w:rPr>
              <w:t>Обработка и возвратОтправления</w:t>
            </w:r>
            <w:r w:rsidRPr="00461621">
              <w:rPr>
                <w:rFonts w:ascii="Arial" w:hAnsi="Arial" w:cs="Arial"/>
                <w:sz w:val="20"/>
                <w:szCs w:val="20"/>
              </w:rPr>
              <w:t xml:space="preserve"> по отмененной </w:t>
            </w:r>
            <w:r>
              <w:rPr>
                <w:rFonts w:ascii="Arial" w:hAnsi="Arial" w:cs="Arial"/>
                <w:sz w:val="20"/>
                <w:szCs w:val="20"/>
              </w:rPr>
              <w:t>Заказчиком</w:t>
            </w:r>
            <w:r w:rsidRPr="00461621">
              <w:rPr>
                <w:rFonts w:ascii="Arial" w:hAnsi="Arial" w:cs="Arial"/>
                <w:sz w:val="20"/>
                <w:szCs w:val="20"/>
              </w:rPr>
              <w:t xml:space="preserve"> Заявке</w:t>
            </w:r>
          </w:p>
        </w:tc>
        <w:tc>
          <w:tcPr>
            <w:tcW w:w="1147" w:type="pct"/>
            <w:vAlign w:val="center"/>
          </w:tcPr>
          <w:p w:rsidR="00497395" w:rsidRPr="00744C00" w:rsidRDefault="00497395" w:rsidP="008D0B73">
            <w:pPr>
              <w:spacing w:line="220" w:lineRule="exact"/>
              <w:contextualSpacing/>
              <w:jc w:val="center"/>
              <w:rPr>
                <w:rFonts w:ascii="Arial" w:hAnsi="Arial" w:cs="Arial"/>
                <w:sz w:val="20"/>
                <w:szCs w:val="20"/>
              </w:rPr>
            </w:pPr>
            <w:r w:rsidRPr="00461621">
              <w:rPr>
                <w:rFonts w:ascii="Arial" w:hAnsi="Arial" w:cs="Arial"/>
                <w:sz w:val="20"/>
                <w:szCs w:val="20"/>
              </w:rPr>
              <w:t xml:space="preserve">50% от Тарифа доставки </w:t>
            </w:r>
            <w:r>
              <w:rPr>
                <w:rFonts w:ascii="Arial" w:hAnsi="Arial" w:cs="Arial"/>
                <w:sz w:val="20"/>
                <w:szCs w:val="20"/>
              </w:rPr>
              <w:t>Отправления</w:t>
            </w:r>
          </w:p>
        </w:tc>
        <w:tc>
          <w:tcPr>
            <w:tcW w:w="2005" w:type="pct"/>
            <w:vAlign w:val="center"/>
          </w:tcPr>
          <w:p w:rsidR="00497395" w:rsidRPr="00744C00" w:rsidRDefault="00497395" w:rsidP="008D0B73">
            <w:pPr>
              <w:spacing w:line="220" w:lineRule="exact"/>
              <w:contextualSpacing/>
              <w:jc w:val="both"/>
              <w:rPr>
                <w:rFonts w:ascii="Arial" w:hAnsi="Arial" w:cs="Arial"/>
                <w:sz w:val="20"/>
                <w:szCs w:val="20"/>
              </w:rPr>
            </w:pPr>
            <w:r w:rsidRPr="00461621">
              <w:rPr>
                <w:rFonts w:ascii="Arial" w:hAnsi="Arial" w:cs="Arial"/>
                <w:sz w:val="20"/>
                <w:szCs w:val="20"/>
              </w:rPr>
              <w:t xml:space="preserve">В случае если, </w:t>
            </w:r>
            <w:r>
              <w:rPr>
                <w:rFonts w:ascii="Arial" w:hAnsi="Arial" w:cs="Arial"/>
                <w:sz w:val="20"/>
                <w:szCs w:val="20"/>
              </w:rPr>
              <w:t>Заказчик</w:t>
            </w:r>
            <w:r w:rsidRPr="00461621">
              <w:rPr>
                <w:rFonts w:ascii="Arial" w:hAnsi="Arial" w:cs="Arial"/>
                <w:sz w:val="20"/>
                <w:szCs w:val="20"/>
              </w:rPr>
              <w:t xml:space="preserve"> отменил заявку на доставку </w:t>
            </w:r>
            <w:r>
              <w:rPr>
                <w:rFonts w:ascii="Arial" w:hAnsi="Arial" w:cs="Arial"/>
                <w:sz w:val="20"/>
                <w:szCs w:val="20"/>
              </w:rPr>
              <w:t>Отправления</w:t>
            </w:r>
            <w:r w:rsidRPr="00461621">
              <w:rPr>
                <w:rFonts w:ascii="Arial" w:hAnsi="Arial" w:cs="Arial"/>
                <w:sz w:val="20"/>
                <w:szCs w:val="20"/>
              </w:rPr>
              <w:t xml:space="preserve"> до </w:t>
            </w:r>
            <w:r>
              <w:rPr>
                <w:rFonts w:ascii="Arial" w:hAnsi="Arial" w:cs="Arial"/>
                <w:sz w:val="20"/>
                <w:szCs w:val="20"/>
              </w:rPr>
              <w:t>приема-передачи Отправления</w:t>
            </w:r>
            <w:r w:rsidRPr="00461621">
              <w:rPr>
                <w:rFonts w:ascii="Arial" w:hAnsi="Arial" w:cs="Arial"/>
                <w:sz w:val="20"/>
                <w:szCs w:val="20"/>
              </w:rPr>
              <w:t>, тариф не применяется</w:t>
            </w:r>
            <w:r>
              <w:rPr>
                <w:rFonts w:ascii="Arial" w:hAnsi="Arial" w:cs="Arial"/>
                <w:sz w:val="20"/>
                <w:szCs w:val="20"/>
              </w:rPr>
              <w:t>. Если заказ был отменен после доставки в Пункт выдачи, дополнительно применяется тариф за услугу по доставке Отправления.</w:t>
            </w:r>
          </w:p>
        </w:tc>
      </w:tr>
      <w:tr w:rsidR="00497395" w:rsidRPr="00744C00" w:rsidTr="008D0B73">
        <w:trPr>
          <w:trHeight w:val="188"/>
          <w:tblHeader/>
          <w:jc w:val="center"/>
        </w:trPr>
        <w:tc>
          <w:tcPr>
            <w:tcW w:w="1848" w:type="pct"/>
          </w:tcPr>
          <w:p w:rsidR="00497395" w:rsidRPr="00AC639F" w:rsidRDefault="003549E1" w:rsidP="008D0B73">
            <w:pPr>
              <w:spacing w:line="220" w:lineRule="exact"/>
              <w:ind w:left="80"/>
              <w:contextualSpacing/>
              <w:rPr>
                <w:rFonts w:ascii="Arial" w:hAnsi="Arial" w:cs="Arial"/>
                <w:sz w:val="20"/>
                <w:szCs w:val="20"/>
              </w:rPr>
            </w:pPr>
            <w:r>
              <w:rPr>
                <w:rFonts w:ascii="Arial" w:hAnsi="Arial" w:cs="Arial"/>
                <w:sz w:val="20"/>
                <w:szCs w:val="20"/>
              </w:rPr>
              <w:t>Прием наложенного платежа, наличными</w:t>
            </w:r>
          </w:p>
        </w:tc>
        <w:tc>
          <w:tcPr>
            <w:tcW w:w="1147" w:type="pct"/>
          </w:tcPr>
          <w:p w:rsidR="00497395" w:rsidRPr="00AC639F" w:rsidRDefault="003549E1" w:rsidP="008D0B73">
            <w:pPr>
              <w:spacing w:line="220" w:lineRule="exact"/>
              <w:contextualSpacing/>
              <w:jc w:val="center"/>
              <w:rPr>
                <w:rFonts w:ascii="Arial" w:hAnsi="Arial" w:cs="Arial"/>
                <w:sz w:val="20"/>
                <w:szCs w:val="20"/>
              </w:rPr>
            </w:pPr>
            <w:r>
              <w:rPr>
                <w:rFonts w:ascii="Arial" w:hAnsi="Arial" w:cs="Arial"/>
                <w:sz w:val="20"/>
                <w:szCs w:val="20"/>
              </w:rPr>
              <w:t>1,92% с учетом НДС</w:t>
            </w:r>
          </w:p>
        </w:tc>
        <w:tc>
          <w:tcPr>
            <w:tcW w:w="2005" w:type="pct"/>
          </w:tcPr>
          <w:p w:rsidR="00497395" w:rsidRPr="00AC639F" w:rsidRDefault="00497395" w:rsidP="008D0B73">
            <w:pPr>
              <w:spacing w:line="220" w:lineRule="exact"/>
              <w:contextualSpacing/>
              <w:jc w:val="both"/>
              <w:rPr>
                <w:rFonts w:ascii="Arial" w:hAnsi="Arial" w:cs="Arial"/>
                <w:sz w:val="20"/>
                <w:szCs w:val="20"/>
              </w:rPr>
            </w:pPr>
          </w:p>
        </w:tc>
      </w:tr>
      <w:tr w:rsidR="003549E1" w:rsidRPr="00744C00" w:rsidTr="008D0B73">
        <w:trPr>
          <w:trHeight w:val="188"/>
          <w:tblHeader/>
          <w:jc w:val="center"/>
        </w:trPr>
        <w:tc>
          <w:tcPr>
            <w:tcW w:w="1848" w:type="pct"/>
          </w:tcPr>
          <w:p w:rsidR="003549E1" w:rsidRPr="00AC639F" w:rsidRDefault="003549E1" w:rsidP="008D0B73">
            <w:pPr>
              <w:spacing w:line="220" w:lineRule="exact"/>
              <w:ind w:left="80"/>
              <w:contextualSpacing/>
              <w:rPr>
                <w:rFonts w:ascii="Arial" w:hAnsi="Arial" w:cs="Arial"/>
                <w:sz w:val="20"/>
                <w:szCs w:val="20"/>
              </w:rPr>
            </w:pPr>
            <w:r>
              <w:rPr>
                <w:rFonts w:ascii="Arial" w:hAnsi="Arial" w:cs="Arial"/>
                <w:sz w:val="20"/>
                <w:szCs w:val="20"/>
              </w:rPr>
              <w:t>Прием наложенного платежа, картой</w:t>
            </w:r>
          </w:p>
        </w:tc>
        <w:tc>
          <w:tcPr>
            <w:tcW w:w="1147" w:type="pct"/>
          </w:tcPr>
          <w:p w:rsidR="003549E1" w:rsidRPr="00AC639F" w:rsidRDefault="003549E1" w:rsidP="008D0B73">
            <w:pPr>
              <w:spacing w:line="220" w:lineRule="exact"/>
              <w:contextualSpacing/>
              <w:jc w:val="center"/>
              <w:rPr>
                <w:rFonts w:ascii="Arial" w:hAnsi="Arial" w:cs="Arial"/>
                <w:sz w:val="20"/>
                <w:szCs w:val="20"/>
              </w:rPr>
            </w:pPr>
            <w:r>
              <w:rPr>
                <w:rFonts w:ascii="Arial" w:hAnsi="Arial" w:cs="Arial"/>
                <w:sz w:val="20"/>
                <w:szCs w:val="20"/>
              </w:rPr>
              <w:t>2,64% с учетом НДС</w:t>
            </w:r>
          </w:p>
        </w:tc>
        <w:tc>
          <w:tcPr>
            <w:tcW w:w="2005" w:type="pct"/>
          </w:tcPr>
          <w:p w:rsidR="003549E1" w:rsidRPr="00AC639F" w:rsidRDefault="003549E1" w:rsidP="008D0B73">
            <w:pPr>
              <w:spacing w:line="220" w:lineRule="exact"/>
              <w:contextualSpacing/>
              <w:jc w:val="both"/>
              <w:rPr>
                <w:rFonts w:ascii="Arial" w:hAnsi="Arial" w:cs="Arial"/>
                <w:sz w:val="20"/>
                <w:szCs w:val="20"/>
              </w:rPr>
            </w:pPr>
          </w:p>
        </w:tc>
      </w:tr>
    </w:tbl>
    <w:p w:rsidR="00497395" w:rsidRPr="00CC7D4B" w:rsidRDefault="00497395" w:rsidP="00CC7D4B">
      <w:pPr>
        <w:spacing w:after="0" w:line="240" w:lineRule="auto"/>
        <w:rPr>
          <w:rFonts w:ascii="Arial" w:hAnsi="Arial" w:cs="Arial"/>
          <w:b/>
          <w:sz w:val="20"/>
          <w:szCs w:val="20"/>
        </w:rPr>
      </w:pPr>
    </w:p>
    <w:p w:rsidR="006C5B17" w:rsidRDefault="006C5B17" w:rsidP="006D64DE">
      <w:pPr>
        <w:rPr>
          <w:rFonts w:ascii="Arial" w:hAnsi="Arial" w:cs="Arial"/>
          <w:sz w:val="20"/>
          <w:szCs w:val="20"/>
        </w:rPr>
        <w:sectPr w:rsidR="006C5B17" w:rsidSect="006D64DE">
          <w:pgSz w:w="11906" w:h="16838"/>
          <w:pgMar w:top="720" w:right="720" w:bottom="720" w:left="720" w:header="709" w:footer="709" w:gutter="0"/>
          <w:cols w:space="708"/>
          <w:docGrid w:linePitch="360"/>
        </w:sectPr>
      </w:pPr>
    </w:p>
    <w:p w:rsidR="00CC0F28" w:rsidRPr="00CC0F28" w:rsidRDefault="00CC0F28" w:rsidP="00CC0F28">
      <w:pPr>
        <w:tabs>
          <w:tab w:val="left" w:pos="567"/>
          <w:tab w:val="left" w:pos="709"/>
        </w:tabs>
        <w:spacing w:after="0"/>
        <w:ind w:firstLine="567"/>
        <w:jc w:val="both"/>
        <w:rPr>
          <w:rFonts w:ascii="Arial" w:hAnsi="Arial" w:cs="Arial"/>
          <w:b/>
          <w:color w:val="000000"/>
          <w:sz w:val="20"/>
          <w:szCs w:val="20"/>
        </w:rPr>
      </w:pPr>
    </w:p>
    <w:p w:rsidR="00E06475" w:rsidRDefault="00E06475" w:rsidP="00261CE2">
      <w:pPr>
        <w:jc w:val="both"/>
        <w:rPr>
          <w:rFonts w:ascii="Times New Roman" w:hAnsi="Times New Roman"/>
          <w:sz w:val="24"/>
          <w:szCs w:val="24"/>
          <w:lang w:eastAsia="ru-RU"/>
        </w:rPr>
      </w:pPr>
    </w:p>
    <w:sectPr w:rsidR="00E06475" w:rsidSect="001B0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167"/>
    <w:multiLevelType w:val="hybridMultilevel"/>
    <w:tmpl w:val="38545C9E"/>
    <w:lvl w:ilvl="0" w:tplc="319CA8C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C4AE1"/>
    <w:multiLevelType w:val="multilevel"/>
    <w:tmpl w:val="431E2A44"/>
    <w:lvl w:ilvl="0">
      <w:start w:val="1"/>
      <w:numFmt w:val="decimal"/>
      <w:lvlText w:val="%1."/>
      <w:lvlJc w:val="left"/>
      <w:pPr>
        <w:ind w:left="928"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1B3E2C"/>
    <w:multiLevelType w:val="hybridMultilevel"/>
    <w:tmpl w:val="4B6E1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activeWritingStyle w:appName="MSWord" w:lang="ru-RU" w:vendorID="64" w:dllVersion="131078" w:nlCheck="1" w:checkStyle="0"/>
  <w:proofState w:spelling="clean" w:grammar="clean"/>
  <w:defaultTabStop w:val="708"/>
  <w:characterSpacingControl w:val="doNotCompress"/>
  <w:compat/>
  <w:rsids>
    <w:rsidRoot w:val="00B533F0"/>
    <w:rsid w:val="00015EE9"/>
    <w:rsid w:val="00060075"/>
    <w:rsid w:val="000706C5"/>
    <w:rsid w:val="00076CA0"/>
    <w:rsid w:val="000F571D"/>
    <w:rsid w:val="001B0F1E"/>
    <w:rsid w:val="00261CE2"/>
    <w:rsid w:val="002C0DEC"/>
    <w:rsid w:val="00326E1F"/>
    <w:rsid w:val="003549E1"/>
    <w:rsid w:val="00356872"/>
    <w:rsid w:val="003C085A"/>
    <w:rsid w:val="004478A6"/>
    <w:rsid w:val="00461C59"/>
    <w:rsid w:val="00497395"/>
    <w:rsid w:val="004D3F7D"/>
    <w:rsid w:val="00521563"/>
    <w:rsid w:val="005331CC"/>
    <w:rsid w:val="00566B49"/>
    <w:rsid w:val="005902DB"/>
    <w:rsid w:val="00631B0F"/>
    <w:rsid w:val="006C5B17"/>
    <w:rsid w:val="006D64DE"/>
    <w:rsid w:val="007E40F6"/>
    <w:rsid w:val="007F1101"/>
    <w:rsid w:val="00812199"/>
    <w:rsid w:val="008126BB"/>
    <w:rsid w:val="0084589E"/>
    <w:rsid w:val="00897EA4"/>
    <w:rsid w:val="008C71F8"/>
    <w:rsid w:val="00902E33"/>
    <w:rsid w:val="00A86AC7"/>
    <w:rsid w:val="00AA1919"/>
    <w:rsid w:val="00AF014E"/>
    <w:rsid w:val="00B533F0"/>
    <w:rsid w:val="00B617C6"/>
    <w:rsid w:val="00B81949"/>
    <w:rsid w:val="00C24019"/>
    <w:rsid w:val="00CC0F28"/>
    <w:rsid w:val="00CC53F2"/>
    <w:rsid w:val="00CC7D4B"/>
    <w:rsid w:val="00D0137E"/>
    <w:rsid w:val="00D1482C"/>
    <w:rsid w:val="00D771D2"/>
    <w:rsid w:val="00DA1DAE"/>
    <w:rsid w:val="00DF4E9F"/>
    <w:rsid w:val="00E06475"/>
    <w:rsid w:val="00E073E3"/>
    <w:rsid w:val="00FC4105"/>
    <w:rsid w:val="00FF0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B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06475"/>
    <w:pPr>
      <w:ind w:left="720"/>
      <w:contextualSpacing/>
    </w:pPr>
  </w:style>
  <w:style w:type="paragraph" w:styleId="2">
    <w:name w:val="List 2"/>
    <w:basedOn w:val="a"/>
    <w:uiPriority w:val="99"/>
    <w:unhideWhenUsed/>
    <w:rsid w:val="006D64DE"/>
    <w:pPr>
      <w:ind w:left="566" w:hanging="283"/>
      <w:contextualSpacing/>
    </w:pPr>
  </w:style>
  <w:style w:type="character" w:styleId="a5">
    <w:name w:val="annotation reference"/>
    <w:uiPriority w:val="99"/>
    <w:rsid w:val="00497395"/>
    <w:rPr>
      <w:sz w:val="16"/>
      <w:szCs w:val="16"/>
    </w:rPr>
  </w:style>
  <w:style w:type="paragraph" w:styleId="a6">
    <w:name w:val="annotation text"/>
    <w:basedOn w:val="a"/>
    <w:link w:val="a7"/>
    <w:uiPriority w:val="99"/>
    <w:semiHidden/>
    <w:rsid w:val="00497395"/>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uiPriority w:val="99"/>
    <w:semiHidden/>
    <w:rsid w:val="0049739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9739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7395"/>
    <w:rPr>
      <w:rFonts w:ascii="Segoe UI" w:hAnsi="Segoe UI" w:cs="Segoe UI"/>
      <w:sz w:val="18"/>
      <w:szCs w:val="18"/>
    </w:rPr>
  </w:style>
  <w:style w:type="character" w:styleId="aa">
    <w:name w:val="Hyperlink"/>
    <w:basedOn w:val="a0"/>
    <w:uiPriority w:val="99"/>
    <w:semiHidden/>
    <w:unhideWhenUsed/>
    <w:rsid w:val="00DA1DAE"/>
    <w:rPr>
      <w:color w:val="0000FF"/>
      <w:u w:val="single"/>
    </w:rPr>
  </w:style>
  <w:style w:type="paragraph" w:styleId="ab">
    <w:name w:val="annotation subject"/>
    <w:basedOn w:val="a6"/>
    <w:next w:val="a6"/>
    <w:link w:val="ac"/>
    <w:uiPriority w:val="99"/>
    <w:semiHidden/>
    <w:unhideWhenUsed/>
    <w:rsid w:val="00DF4E9F"/>
    <w:pPr>
      <w:spacing w:after="200"/>
    </w:pPr>
    <w:rPr>
      <w:rFonts w:asciiTheme="minorHAnsi" w:eastAsiaTheme="minorHAnsi" w:hAnsiTheme="minorHAnsi"/>
      <w:b/>
      <w:bCs/>
      <w:lang w:eastAsia="en-US"/>
    </w:rPr>
  </w:style>
  <w:style w:type="character" w:customStyle="1" w:styleId="ac">
    <w:name w:val="Тема примечания Знак"/>
    <w:basedOn w:val="a7"/>
    <w:link w:val="ab"/>
    <w:uiPriority w:val="99"/>
    <w:semiHidden/>
    <w:rsid w:val="00DF4E9F"/>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Bulatkina, Diana</dc:creator>
  <cp:keywords/>
  <dc:description/>
  <cp:lastModifiedBy>Windows User</cp:lastModifiedBy>
  <cp:revision>15</cp:revision>
  <cp:lastPrinted>2021-03-31T11:38:00Z</cp:lastPrinted>
  <dcterms:created xsi:type="dcterms:W3CDTF">2021-03-25T12:11:00Z</dcterms:created>
  <dcterms:modified xsi:type="dcterms:W3CDTF">2021-03-31T11:39:00Z</dcterms:modified>
</cp:coreProperties>
</file>